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E6C4" w14:textId="19049A1C" w:rsidR="00B42ADE" w:rsidRDefault="00B42ADE">
      <w:r>
        <w:t xml:space="preserve">Usunięto na podstawie art. 24h ust. 6 ustawy z dnia 8 marca 1990 r. o samorządzie gminnym (Dz. U z 2019 r. poz. 506 z </w:t>
      </w:r>
      <w:proofErr w:type="spellStart"/>
      <w:r>
        <w:t>późn</w:t>
      </w:r>
      <w:proofErr w:type="spellEnd"/>
      <w:r>
        <w:t>. zm.)</w:t>
      </w:r>
    </w:p>
    <w:sectPr w:rsidR="00B4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DE"/>
    <w:rsid w:val="00B4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636E"/>
  <w15:chartTrackingRefBased/>
  <w15:docId w15:val="{CBB5BFF7-F53D-4546-AB15-20898F4B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Gryglicka</dc:creator>
  <cp:keywords/>
  <dc:description/>
  <cp:lastModifiedBy>Monika Gryglicka</cp:lastModifiedBy>
  <cp:revision>1</cp:revision>
  <dcterms:created xsi:type="dcterms:W3CDTF">2021-06-09T12:06:00Z</dcterms:created>
  <dcterms:modified xsi:type="dcterms:W3CDTF">2021-06-09T12:09:00Z</dcterms:modified>
</cp:coreProperties>
</file>