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widowControl/>
        <w:suppressAutoHyphens w:val="true"/>
        <w:bidi w:val="0"/>
        <w:spacing w:before="0" w:after="57"/>
        <w:ind w:left="7087" w:right="0" w:hanging="0"/>
        <w:jc w:val="left"/>
        <w:textAlignment w:val="baseline"/>
        <w:rPr/>
      </w:pPr>
      <w:r>
        <w:rPr>
          <w:rFonts w:cs="Calibri" w:ascii="Calibri" w:hAnsi="Calibri"/>
          <w:color w:val="000000"/>
          <w:sz w:val="22"/>
          <w:szCs w:val="22"/>
        </w:rPr>
        <w:t>Lublin, 2</w:t>
      </w:r>
      <w:r>
        <w:rPr>
          <w:rFonts w:cs="Calibri" w:ascii="Calibri" w:hAnsi="Calibri"/>
          <w:color w:val="000000"/>
          <w:sz w:val="22"/>
          <w:szCs w:val="22"/>
        </w:rPr>
        <w:t>4</w:t>
      </w:r>
      <w:r>
        <w:rPr>
          <w:rFonts w:cs="Calibri" w:ascii="Calibri" w:hAnsi="Calibri"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color w:val="000000"/>
          <w:sz w:val="22"/>
          <w:szCs w:val="22"/>
        </w:rPr>
        <w:t>sierpni</w:t>
      </w:r>
      <w:r>
        <w:rPr>
          <w:rFonts w:cs="Calibri" w:ascii="Calibri" w:hAnsi="Calibri"/>
          <w:color w:val="000000"/>
          <w:sz w:val="22"/>
          <w:szCs w:val="22"/>
        </w:rPr>
        <w:t>a 2020</w:t>
      </w:r>
    </w:p>
    <w:p>
      <w:pPr>
        <w:pStyle w:val="Standard"/>
        <w:widowControl/>
        <w:suppressAutoHyphens w:val="true"/>
        <w:bidi w:val="0"/>
        <w:spacing w:before="0" w:after="57"/>
        <w:ind w:left="7087" w:right="0" w:hanging="0"/>
        <w:jc w:val="left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Standard"/>
        <w:widowControl/>
        <w:suppressAutoHyphens w:val="true"/>
        <w:bidi w:val="0"/>
        <w:spacing w:before="0" w:after="57"/>
        <w:ind w:left="7087" w:right="0" w:hanging="0"/>
        <w:jc w:val="left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Standard"/>
        <w:widowControl/>
        <w:suppressAutoHyphens w:val="true"/>
        <w:bidi w:val="0"/>
        <w:spacing w:before="0" w:after="57"/>
        <w:ind w:left="7087" w:right="0" w:hanging="0"/>
        <w:jc w:val="left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Standard"/>
        <w:widowControl/>
        <w:suppressAutoHyphens w:val="true"/>
        <w:bidi w:val="0"/>
        <w:spacing w:before="0" w:after="57"/>
        <w:ind w:left="7087" w:right="0" w:hanging="0"/>
        <w:jc w:val="left"/>
        <w:textAlignment w:val="baseline"/>
        <w:rPr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Sz. P. Andrzej Chabros</w:t>
      </w:r>
    </w:p>
    <w:p>
      <w:pPr>
        <w:pStyle w:val="Standard"/>
        <w:widowControl/>
        <w:suppressAutoHyphens w:val="true"/>
        <w:bidi w:val="0"/>
        <w:spacing w:before="0" w:after="57"/>
        <w:ind w:left="7087" w:right="0" w:hanging="0"/>
        <w:jc w:val="left"/>
        <w:textAlignment w:val="baseline"/>
        <w:rPr/>
      </w:pPr>
      <w:r>
        <w:rPr>
          <w:rFonts w:cs="Calibri" w:ascii="Calibri" w:hAnsi="Calibri"/>
        </w:rPr>
        <w:t>Wójt Gminy Ludwin</w:t>
      </w:r>
    </w:p>
    <w:p>
      <w:pPr>
        <w:pStyle w:val="Standard"/>
        <w:spacing w:before="0" w:after="57"/>
        <w:ind w:left="6405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Spacing"/>
        <w:spacing w:lineRule="auto" w:line="276"/>
        <w:ind w:left="6420" w:hanging="0"/>
        <w:rPr>
          <w:rFonts w:ascii="Calibri" w:hAnsi="Calibri" w:cs="Calibri"/>
          <w:b/>
          <w:b/>
          <w:sz w:val="22"/>
        </w:rPr>
      </w:pPr>
      <w:r>
        <w:rPr>
          <w:rFonts w:cs="Calibri" w:ascii="Calibri" w:hAnsi="Calibri"/>
          <w:b/>
          <w:sz w:val="22"/>
        </w:rPr>
      </w:r>
    </w:p>
    <w:p>
      <w:pPr>
        <w:pStyle w:val="NoSpacing"/>
        <w:spacing w:lineRule="auto" w:line="276"/>
        <w:ind w:left="6420" w:hanging="0"/>
        <w:rPr>
          <w:rFonts w:ascii="Calibri" w:hAnsi="Calibri" w:cs="Calibri"/>
          <w:b/>
          <w:b/>
          <w:sz w:val="22"/>
        </w:rPr>
      </w:pPr>
      <w:r>
        <w:rPr>
          <w:rFonts w:cs="Calibri" w:ascii="Calibri" w:hAnsi="Calibri"/>
          <w:b/>
          <w:sz w:val="22"/>
        </w:rPr>
      </w:r>
    </w:p>
    <w:p>
      <w:pPr>
        <w:pStyle w:val="NoSpacing"/>
        <w:spacing w:lineRule="auto" w:line="276"/>
        <w:ind w:hanging="0"/>
        <w:rPr>
          <w:rFonts w:ascii="Calibri" w:hAnsi="Calibri" w:cs="Calibri"/>
          <w:b/>
          <w:b/>
          <w:sz w:val="22"/>
        </w:rPr>
      </w:pPr>
      <w:r>
        <w:rPr>
          <w:rFonts w:cs="Calibri" w:ascii="Calibri" w:hAnsi="Calibri"/>
          <w:b/>
          <w:sz w:val="22"/>
        </w:rPr>
      </w:r>
    </w:p>
    <w:p>
      <w:pPr>
        <w:pStyle w:val="NoSpacing"/>
        <w:spacing w:lineRule="auto" w:line="276"/>
        <w:jc w:val="center"/>
        <w:rPr>
          <w:rFonts w:ascii="Calibri" w:hAnsi="Calibri" w:cs="Calibri"/>
          <w:b/>
          <w:b/>
          <w:bCs/>
          <w:szCs w:val="24"/>
        </w:rPr>
      </w:pPr>
      <w:r>
        <w:rPr>
          <w:rFonts w:cs="Calibri" w:ascii="Calibri" w:hAnsi="Calibri"/>
          <w:b/>
          <w:bCs/>
          <w:szCs w:val="24"/>
        </w:rPr>
        <w:t>PETYCJA W INTERESIE PUBLICZNYM</w:t>
      </w:r>
    </w:p>
    <w:p>
      <w:pPr>
        <w:pStyle w:val="NoSpacing"/>
        <w:spacing w:lineRule="auto" w:line="276"/>
        <w:jc w:val="center"/>
        <w:rPr>
          <w:rFonts w:ascii="Calibri" w:hAnsi="Calibri" w:cs="Calibri"/>
          <w:b/>
          <w:b/>
          <w:bCs/>
          <w:szCs w:val="24"/>
        </w:rPr>
      </w:pPr>
      <w:r>
        <w:rPr>
          <w:rFonts w:cs="Calibri" w:ascii="Calibri" w:hAnsi="Calibri"/>
          <w:b/>
          <w:bCs/>
          <w:szCs w:val="24"/>
        </w:rPr>
        <w:t>W SPRAWIE ZWIĘKSZENIA PRZEJRZYSTOŚCI DZIAŁANIA</w:t>
      </w:r>
    </w:p>
    <w:p>
      <w:pPr>
        <w:pStyle w:val="NoSpacing"/>
        <w:spacing w:lineRule="auto" w:line="276"/>
        <w:jc w:val="center"/>
        <w:rPr>
          <w:rFonts w:ascii="Calibri" w:hAnsi="Calibri" w:cs="Calibri"/>
          <w:b/>
          <w:b/>
          <w:bCs/>
          <w:szCs w:val="24"/>
        </w:rPr>
      </w:pPr>
      <w:r>
        <w:rPr>
          <w:rFonts w:cs="Calibri" w:ascii="Calibri" w:hAnsi="Calibri"/>
          <w:b/>
          <w:bCs/>
          <w:szCs w:val="24"/>
        </w:rPr>
        <w:t>URZĘDU GMINY LUDWIN</w:t>
      </w:r>
    </w:p>
    <w:p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" w:ascii="Calibri" w:hAnsi="Calibri"/>
          <w:b/>
          <w:bCs/>
        </w:rPr>
        <w:t>Jawność życia publicznego musi być standardem, a nie wyjątkiem.</w:t>
      </w:r>
      <w:r>
        <w:rPr>
          <w:rFonts w:cs="Calibri" w:ascii="Calibri" w:hAnsi="Calibri"/>
        </w:rPr>
        <w:t xml:space="preserve"> W imieniu Fundacji Wolności składam petycję w interesie publicznym w sprawie utworzenia i publikacji rejestru umów oraz rejestru otrzymanych wniosków o udostępnienie informacji publicznej w Biuletynie Informacji Publicznej Urzędu Gminy Ludwin oraz o ich aktualizowanie nie rzadziej niż raz na miesiąc. W miarę możliwości sugerujemy zamieszczenie w rejestrze również treść zawieranych umów.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Pragnę wskazać, że rejestrów umów zapewni mieszkańcom możliwość zapoznania się z konkretnymi wydatkami, dokonywanymi ze środków publicznych, co stanowi realizację konstytucyjnego prawa do informacji zagwarantowanego w artykule 61 Konstytucji RP oraz zasady jawności finansów publicznych. W obecnym społeczeństwie informacyjnym coraz większe znaczenie ma swoboda dostępności informacji, której jedną z form jest dostępność do informacji publicznej w Internecie.  </w:t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both"/>
        <w:rPr/>
      </w:pPr>
      <w:r>
        <w:rPr>
          <w:rFonts w:cs="Calibri" w:ascii="Calibri" w:hAnsi="Calibri"/>
        </w:rPr>
        <w:t xml:space="preserve">Utworzenie rejestru zwiększa przejrzystość oraz jawność organów administracji publicznej, </w:t>
      </w:r>
      <w:r>
        <w:rPr>
          <w:rFonts w:cs="Calibri" w:ascii="Calibri" w:hAnsi="Calibri"/>
          <w:shd w:fill="FFFFFF" w:val="clear"/>
        </w:rPr>
        <w:t>jest to mocny bodziec do rozwoju społeczeństwa obywatelskiego i zaawansowanego technologicznie</w:t>
      </w:r>
      <w:r>
        <w:rPr>
          <w:rFonts w:cs="Calibri" w:ascii="Calibri" w:hAnsi="Calibri"/>
        </w:rPr>
        <w:t>. Publikacja takich informacji przyczyni się do wzrostu zaufania mieszkańców, który stanowi podstawowy składnik życia społecznego i jest obecne w każdym jego wymiarze. We wzroście wzajemnego zaufania upatruje się szansę na budowę społeczeństwa opartego na samoorganizacji obywateli i podejmowaniu przez nich działań na rzecz rozwoju wspólnot lokalnych. Dostęp informacji związanych z gospodarowaniem środkami publicznymi sprzyja publicznemu nadzorowi, który prowadzi do zminimalizowania nadużyć i niegospodarności, do racjonalnej gospodarki finansowej oraz pełni funkcję prewencyjną (antykorupcyjną).</w:t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Obecnie również nie budzi wątpliwości, że ujawnienie kontrahentów podmiotów publicznych jest dopuszczalne, czego dowodzi szeroka praktyka podmiotów zobowiązanych do jawnego działania, w tym zwłaszcza jednostek samorządu terytorialnego.</w:t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Przetwarzanie danych osobowych, w tym danych widniejących w dokumentacji przetargowej, jest dopuszczalne, jeśli spełniona jest jedna z przesłanek z art. 6 ust. 1 RODO. Dane osobowe mogą być przetwarzane m. in. gdy jest to niezbędne do wypełnienia obowiązku prawnego ciążącego na administratorze (art. 6 ust. 1 lit. c RODO). W przypadku prowadzenia postępowania o zamówienie publiczne zamawiający przetwarzając np. dane wykonawców może powołać się właśnie na tę przesłankę albowiem przetwarza dane w celu związanym z postępowaniem i w zakresie w jakim wymagają tego przepisy Prawa zamówień publicznych. Z żadnych przepisów nie wynika generalny zakaz udostępniania informacji publicznych zawierających dane osobowe. Także w ustawie o dostępie do informacji publicznej nie zawarto regulacji, które nie pozwalałyby na uzyskiwanie dostępu do danych osobowych w ramach prawa do informacji publicznej. Zgodnie ze stanowiskiem reprezentowanym w orzecznictwie, ustawa o dostępie do informacji publicznej i ustawa o ochronie danych osobowych (obecnie przede wszystkim RODO) są równorzędnymi aktami prawnymi. Ponadto dane wykonawców samorządowych kontraktów jako że wiążą się z gospodarowaniem mieniem publicznym są informacją publiczną, zatem ich udostępnienie jest obowiązkowe. Ponadto dane wykonawców samorządowych kontraktów – są powszechnie dostępne w Centralnej Ewidencji i Informacji o Działalności Gospodarczej lub KRS związku z tym nie ma żadnych podstaw aby dane takie uznawać za objęte tajemnicą  przedsiębiorcy  czy za dane takie naruszały prywatność osoby.</w:t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Zawarte umowy publikują wszystkie największe gminy w Polsce. Stale rośnie liczba mniejszych gmin, decydujących się na to pożyteczne rozwiązanie. Wiele miast w województwie lubelskim prowadzi publiczny rejestr umów, m. in.: Lublin, Kraśnik, Krasnystaw, Zamość, Parczew, Radzyń Podlaski, Puławy, Lubartów, Łęczna. </w:t>
      </w:r>
    </w:p>
    <w:p>
      <w:pPr>
        <w:pStyle w:val="Normal"/>
        <w:widowControl w:val="false"/>
        <w:spacing w:before="0" w:after="57"/>
        <w:jc w:val="both"/>
        <w:rPr>
          <w:rFonts w:ascii="Calibri" w:hAnsi="Calibri" w:eastAsia="SimSun, 宋体" w:cs="Calibri"/>
          <w:color w:val="000000"/>
        </w:rPr>
      </w:pPr>
      <w:r>
        <w:rPr>
          <w:rFonts w:eastAsia="SimSun, 宋体" w:cs="Calibri" w:ascii="Calibri" w:hAnsi="Calibri"/>
          <w:color w:val="000000"/>
        </w:rPr>
      </w:r>
    </w:p>
    <w:p>
      <w:pPr>
        <w:pStyle w:val="Normal"/>
        <w:widowControl w:val="false"/>
        <w:spacing w:before="0" w:after="57"/>
        <w:jc w:val="both"/>
        <w:rPr/>
      </w:pPr>
      <w:r>
        <w:rPr>
          <w:rFonts w:eastAsia="SimSun, 宋体" w:cs="Calibri" w:ascii="Calibri" w:hAnsi="Calibri"/>
          <w:color w:val="000000"/>
        </w:rPr>
        <w:t xml:space="preserve">Natomiast opublikowanie rejestru otrzymanych wniosków o informacje publiczną w Biuletynie Informacji Publicznej, sprawi że nie będzie konieczne udostępnianie informacji w nich zawartych udostępniać na podstawie kolejnego wniosku o informacje publiczną. </w:t>
      </w:r>
      <w:r>
        <w:rPr>
          <w:rFonts w:cs="Calibri" w:ascii="Calibri" w:hAnsi="Calibri"/>
          <w:color w:val="000000"/>
          <w:shd w:fill="FFFFFF" w:val="clear"/>
        </w:rPr>
        <w:t>Liczba otrzymywanych wniosków o udostępnienie informacji publicznej systematycznie wzrasta, a często przedmiot zapytań się powtarza lub jest bardzo zbliżony. W celu usprawnienia realizacji wniosków, rozpowszechnienie treści udostępnianych na jednostkowe żądanie  ułatwi nie tylko pracę ale będzie kolejnym krokiem w stronę transparentności działania urzędu. Ponadto utworzenie takiego rejestru nie tylko pozwala bardziej zrozumieć czym zajmują się urzędnicy ale tworzy realne oszczędności publicznych środków, czasu i energii urzędników, ponieważ informacje i dokumenty opublikowane w BIP nie podlegają pod obowiązek udostępnienia zgodnie ze sposobem oraz formą określoną przez wnioskodawców. Rozpowszechnienie treści udostępnionych na wniosek informacji organiczna zagrożenia manipulowania nimi a im więcej ujawnionych w BIPie informacji tym mniejsza liczba otrzymywanych wniosków o ich udostępnienie. Podobnie jak w przypadku rejestru umów co raz większa liczba samorządów prowadzi rejestr wniosków o udostępnienie informacji publicznej, m. in. starostwo powiatowe Łęczna</w:t>
      </w:r>
      <w:r>
        <w:rPr>
          <w:rFonts w:eastAsia="SimSun, 宋体" w:cs="Calibri" w:ascii="Calibri" w:hAnsi="Calibri"/>
          <w:color w:val="000000"/>
        </w:rPr>
        <w:t>.</w:t>
      </w:r>
    </w:p>
    <w:p>
      <w:pPr>
        <w:pStyle w:val="Normal"/>
        <w:widowControl w:val="false"/>
        <w:spacing w:before="0" w:after="57"/>
        <w:jc w:val="both"/>
        <w:rPr>
          <w:rFonts w:ascii="Calibri" w:hAnsi="Calibri" w:eastAsia="SimSun, 宋体" w:cs="Calibri"/>
          <w:color w:val="000000"/>
        </w:rPr>
      </w:pPr>
      <w:r>
        <w:rPr>
          <w:rFonts w:eastAsia="SimSun, 宋体" w:cs="Calibri" w:ascii="Calibri" w:hAnsi="Calibri"/>
          <w:color w:val="000000"/>
        </w:rPr>
      </w:r>
    </w:p>
    <w:p>
      <w:pPr>
        <w:pStyle w:val="Normal"/>
        <w:widowControl w:val="false"/>
        <w:spacing w:before="0" w:after="57"/>
        <w:jc w:val="both"/>
        <w:rPr>
          <w:rFonts w:ascii="Calibri" w:hAnsi="Calibri" w:eastAsia="SimSun, 宋体" w:cs="Calibri"/>
          <w:color w:val="000000"/>
        </w:rPr>
      </w:pPr>
      <w:r>
        <w:rPr>
          <w:rFonts w:eastAsia="SimSun, 宋体" w:cs="Calibri" w:ascii="Calibri" w:hAnsi="Calibri"/>
          <w:color w:val="000000"/>
        </w:rPr>
        <w:t>Utworzenie i udostępnienie wymienionych rejestrów wpisywałoby się w ogólny nurt zwiększania przejrzystości i jawności działania organów administracji publicznej.</w:t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spacing w:before="0" w:after="57"/>
        <w:ind w:left="6406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Z wyrazami szacunku</w:t>
      </w:r>
    </w:p>
    <w:p>
      <w:pPr>
        <w:pStyle w:val="Standard"/>
        <w:spacing w:before="0" w:after="57"/>
        <w:rPr>
          <w:rFonts w:ascii="Calibri" w:hAnsi="Calibri" w:cs="Arial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p>
      <w:pPr>
        <w:pStyle w:val="Standard"/>
        <w:spacing w:before="0" w:after="57"/>
        <w:rPr>
          <w:rFonts w:ascii="Calibri" w:hAnsi="Calibri" w:cs="Arial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p>
      <w:pPr>
        <w:pStyle w:val="Standard"/>
        <w:spacing w:before="0" w:after="57"/>
        <w:rPr>
          <w:rFonts w:ascii="Calibri" w:hAnsi="Calibri" w:cs="Arial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p>
      <w:pPr>
        <w:pStyle w:val="Standard"/>
        <w:spacing w:before="0" w:after="57"/>
        <w:rPr>
          <w:rFonts w:ascii="Calibri" w:hAnsi="Calibri" w:cs="Arial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p>
      <w:pPr>
        <w:pStyle w:val="Standard"/>
        <w:spacing w:before="0" w:after="57"/>
        <w:rPr>
          <w:rFonts w:ascii="Calibri" w:hAnsi="Calibri" w:cs="Arial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p>
      <w:pPr>
        <w:pStyle w:val="Standard"/>
        <w:spacing w:before="0" w:after="57"/>
        <w:rPr>
          <w:rFonts w:ascii="Calibri" w:hAnsi="Calibri" w:cs="Arial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p>
      <w:pPr>
        <w:pStyle w:val="Standard"/>
        <w:spacing w:before="0" w:after="57"/>
        <w:rPr>
          <w:rFonts w:ascii="Calibri" w:hAnsi="Calibri" w:cs="Arial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p>
      <w:pPr>
        <w:pStyle w:val="Standard"/>
        <w:spacing w:before="0" w:after="57"/>
        <w:rPr>
          <w:rFonts w:ascii="Calibri" w:hAnsi="Calibri" w:cs="Arial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p>
      <w:pPr>
        <w:pStyle w:val="Standard"/>
        <w:spacing w:before="0" w:after="57"/>
        <w:jc w:val="both"/>
        <w:rPr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 xml:space="preserve">Wyrażam zgodę na ujawnienie na stronie internetowej podmiotu rozpatrującego petycję lub urzędu go obsługującego danych osobowych podmiotu wnoszącego petycję lub podmiotu, o którym mowa w art. 5 ust. 1 Ustawy z dnia 11 lipca 2014 r. o petycjach (Dz. U. z 2014 r., poz. 1195). Korespondencję w sprawie petycji proszę kierować na adres: Fundacja Wolności, ul. </w:t>
      </w:r>
      <w:r>
        <w:rPr>
          <w:rFonts w:cs="Calibri" w:ascii="Calibri" w:hAnsi="Calibri"/>
          <w:sz w:val="20"/>
          <w:szCs w:val="20"/>
        </w:rPr>
        <w:t>Krakowskie Przedmieście 13/5A</w:t>
      </w:r>
      <w:r>
        <w:rPr>
          <w:rFonts w:cs="Calibri" w:ascii="Calibri" w:hAnsi="Calibri"/>
          <w:color w:val="000000"/>
          <w:sz w:val="20"/>
          <w:szCs w:val="20"/>
        </w:rPr>
        <w:t>, 20-002 Lublin. Osobą do kontaktu ws petycji jest Krzysztof Jakubowski – prezes zarządu.</w:t>
      </w:r>
    </w:p>
    <w:sectPr>
      <w:headerReference w:type="default" r:id="rId2"/>
      <w:footerReference w:type="default" r:id="rId3"/>
      <w:type w:val="nextPage"/>
      <w:pgSz w:w="11906" w:h="16838"/>
      <w:pgMar w:left="850" w:right="850" w:header="283" w:top="2483" w:footer="283" w:bottom="250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-539750</wp:posOffset>
          </wp:positionH>
          <wp:positionV relativeFrom="paragraph">
            <wp:posOffset>178435</wp:posOffset>
          </wp:positionV>
          <wp:extent cx="7556500" cy="1409065"/>
          <wp:effectExtent l="0" t="0" r="0" b="0"/>
          <wp:wrapNone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09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-552450</wp:posOffset>
          </wp:positionH>
          <wp:positionV relativeFrom="paragraph">
            <wp:posOffset>-171450</wp:posOffset>
          </wp:positionV>
          <wp:extent cx="7560310" cy="1609090"/>
          <wp:effectExtent l="0" t="0" r="0" b="0"/>
          <wp:wrapSquare wrapText="bothSides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0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11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Nagwek11"/>
    <w:next w:val="Textbody"/>
    <w:uiPriority w:val="9"/>
    <w:semiHidden/>
    <w:unhideWhenUsed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1"/>
    <w:next w:val="Textbody"/>
    <w:uiPriority w:val="9"/>
    <w:semiHidden/>
    <w:unhideWhenUsed/>
    <w:qFormat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Calibri" w:hAnsi="Calibri" w:eastAsia="Calibri" w:cs="Calibri"/>
      <w:b w:val="false"/>
      <w:bCs w:val="false"/>
      <w:sz w:val="22"/>
      <w:szCs w:val="22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Znakinumeracji" w:customStyle="1">
    <w:name w:val="Znaki numeracji"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Odwiedzoneczeinternetowe" w:customStyle="1">
    <w:name w:val="Odwiedzone łącze internetowe"/>
    <w:qFormat/>
    <w:rPr>
      <w:color w:val="800000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Mocnewyrnione" w:customStyle="1">
    <w:name w:val="Mocne wyróżnione"/>
    <w:qFormat/>
    <w:rPr>
      <w:b/>
      <w:bCs/>
    </w:rPr>
  </w:style>
  <w:style w:type="character" w:styleId="Czeinternetowe" w:customStyle="1">
    <w:name w:val="Łącze internetowe"/>
    <w:basedOn w:val="Domylnaczcionkaakapitu1"/>
    <w:qFormat/>
    <w:rPr>
      <w:color w:val="0000FF"/>
      <w:u w:val="single"/>
    </w:rPr>
  </w:style>
  <w:style w:type="character" w:styleId="TekstdymkaZnak" w:customStyle="1">
    <w:name w:val="Tekst dymka Znak"/>
    <w:basedOn w:val="Domylnaczcionkaakapitu1"/>
    <w:qFormat/>
    <w:rPr>
      <w:rFonts w:ascii="Tahoma" w:hAnsi="Tahoma" w:eastAsia="Tahoma" w:cs="Tahoma"/>
      <w:sz w:val="16"/>
      <w:szCs w:val="16"/>
    </w:rPr>
  </w:style>
  <w:style w:type="character" w:styleId="StopkaZnak" w:customStyle="1">
    <w:name w:val="Stopka Znak"/>
    <w:basedOn w:val="Domylnaczcionkaakapitu1"/>
    <w:qFormat/>
    <w:rPr/>
  </w:style>
  <w:style w:type="character" w:styleId="NagwekZnak" w:customStyle="1">
    <w:name w:val="Nagłówek Znak"/>
    <w:basedOn w:val="Domylnaczcionkaakapitu1"/>
    <w:qFormat/>
    <w:rPr/>
  </w:style>
  <w:style w:type="character" w:styleId="Domylnaczcionkaakapitu1" w:customStyle="1">
    <w:name w:val="Domyślna czcionka akapitu1"/>
    <w:qFormat/>
    <w:rPr/>
  </w:style>
  <w:style w:type="paragraph" w:styleId="Nagwek" w:customStyle="1">
    <w:name w:val="Nagłówek"/>
    <w:basedOn w:val="Nagwek11"/>
    <w:next w:val="Textbody"/>
    <w:qFormat/>
    <w:pPr>
      <w:jc w:val="center"/>
    </w:pPr>
    <w:rPr>
      <w:b/>
      <w:bCs/>
      <w:sz w:val="56"/>
      <w:szCs w:val="56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"/>
    <w:basedOn w:val="Standard"/>
    <w:qFormat/>
    <w:pPr/>
    <w:rPr>
      <w:b/>
      <w:bCs/>
      <w:color w:val="4F81BD"/>
      <w:sz w:val="18"/>
      <w:szCs w:val="18"/>
    </w:rPr>
  </w:style>
  <w:style w:type="paragraph" w:styleId="Nagwek1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2"/>
      <w:sz w:val="24"/>
      <w:szCs w:val="22"/>
      <w:lang w:val="pl-PL" w:eastAsia="zh-CN" w:bidi="ar-SA"/>
    </w:rPr>
  </w:style>
  <w:style w:type="paragraph" w:styleId="Cytaty" w:customStyle="1">
    <w:name w:val="Cytaty"/>
    <w:basedOn w:val="Standard"/>
    <w:qFormat/>
    <w:pPr>
      <w:spacing w:before="0" w:after="283"/>
      <w:ind w:left="567" w:right="567" w:hanging="0"/>
    </w:pPr>
    <w:rPr/>
  </w:style>
  <w:style w:type="paragraph" w:styleId="Podtytu">
    <w:name w:val="Subtitle"/>
    <w:basedOn w:val="Nagwek11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Standard"/>
    <w:qFormat/>
    <w:pPr>
      <w:ind w:left="708" w:hanging="0"/>
    </w:pPr>
    <w:rPr>
      <w:rFonts w:eastAsia="Andale Sans UI"/>
    </w:rPr>
  </w:style>
  <w:style w:type="paragraph" w:styleId="Przypisdolny">
    <w:name w:val="Footnote Text"/>
    <w:basedOn w:val="Standard"/>
    <w:pPr/>
    <w:rPr>
      <w:sz w:val="20"/>
      <w:szCs w:val="20"/>
    </w:rPr>
  </w:style>
  <w:style w:type="paragraph" w:styleId="Ilustracja" w:customStyle="1">
    <w:name w:val="Ilustracja"/>
    <w:basedOn w:val="Caption1"/>
    <w:qFormat/>
    <w:pPr/>
    <w:rPr/>
  </w:style>
  <w:style w:type="paragraph" w:styleId="Zawartoramki" w:customStyle="1">
    <w:name w:val="Zawartość ramki"/>
    <w:basedOn w:val="Standard"/>
    <w:qFormat/>
    <w:pPr/>
    <w:rPr/>
  </w:style>
  <w:style w:type="paragraph" w:styleId="Tekstwstpniesformatowany" w:customStyle="1">
    <w:name w:val="Tekst wstępnie sformatowany"/>
    <w:basedOn w:val="Standard"/>
    <w:qFormat/>
    <w:pPr/>
    <w:rPr>
      <w:rFonts w:ascii="Liberation Mono" w:hAnsi="Liberation Mono" w:eastAsia="Courier New" w:cs="Liberation Mono"/>
      <w:sz w:val="20"/>
      <w:szCs w:val="20"/>
    </w:rPr>
  </w:style>
  <w:style w:type="paragraph" w:styleId="Podpis">
    <w:name w:val="Signature"/>
    <w:basedOn w:val="Standard"/>
    <w:pPr>
      <w:suppressLineNumbers/>
    </w:pPr>
    <w:rPr/>
  </w:style>
  <w:style w:type="paragraph" w:styleId="Stopkaprawa" w:customStyle="1">
    <w:name w:val="Stopka prawa"/>
    <w:basedOn w:val="Standard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lewa" w:customStyle="1">
    <w:name w:val="Stopka lewa"/>
    <w:basedOn w:val="Standard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Endnote" w:customStyle="1">
    <w:name w:val="End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Footnote" w:customStyle="1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Zawartolisty" w:customStyle="1">
    <w:name w:val="Zawartość listy"/>
    <w:basedOn w:val="Standard"/>
    <w:qFormat/>
    <w:pPr>
      <w:ind w:left="567" w:hanging="0"/>
    </w:pPr>
    <w:rPr/>
  </w:style>
  <w:style w:type="paragraph" w:styleId="Nagweklisty" w:customStyle="1">
    <w:name w:val="Nagłówek listy"/>
    <w:basedOn w:val="Standard"/>
    <w:next w:val="Zawartolisty"/>
    <w:qFormat/>
    <w:pPr/>
    <w:rPr/>
  </w:style>
  <w:style w:type="paragraph" w:styleId="Zwrotgrzecznociowy">
    <w:name w:val="Salutation"/>
    <w:basedOn w:val="Standard"/>
    <w:pPr>
      <w:suppressLineNumbers/>
    </w:pPr>
    <w:rPr/>
  </w:style>
  <w:style w:type="paragraph" w:styleId="Tytu">
    <w:name w:val="Title"/>
    <w:basedOn w:val="Nagwek"/>
    <w:next w:val="Textbody"/>
    <w:uiPriority w:val="10"/>
    <w:qFormat/>
    <w:pPr/>
    <w:rPr/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DocumentMap" w:customStyle="1">
    <w:name w:val="Document Map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Mangal" w:cs="Times New Roman"/>
      <w:color w:val="auto"/>
      <w:kern w:val="2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Application>LibreOffice/7.0.0.3$Windows_X86_64 LibreOffice_project/8061b3e9204bef6b321a21033174034a5e2ea88e</Application>
  <Pages>3</Pages>
  <Words>769</Words>
  <Characters>5183</Characters>
  <CharactersWithSpaces>5944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2020-07-27T15:30:00Z</dcterms:created>
  <dc:creator>Sara Labenz</dc:creator>
  <dc:description/>
  <dc:language>pl-PL</dc:language>
  <cp:lastModifiedBy/>
  <cp:lastPrinted>2019-09-12T11:17:00Z</cp:lastPrinted>
  <dcterms:modified xsi:type="dcterms:W3CDTF">2020-08-24T13:36:40Z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